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343F22">
        <w:rPr>
          <w:rFonts w:ascii="Times New Roman" w:hAnsi="Times New Roman" w:cs="Times New Roman"/>
          <w:sz w:val="28"/>
        </w:rPr>
        <w:t>В каких случаях доходы от продажи квартиры не облагаются НДФЛ</w:t>
      </w:r>
      <w:bookmarkEnd w:id="0"/>
      <w:r w:rsidRPr="00343F22">
        <w:rPr>
          <w:rFonts w:ascii="Times New Roman" w:hAnsi="Times New Roman" w:cs="Times New Roman"/>
          <w:sz w:val="28"/>
        </w:rPr>
        <w:t>?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 xml:space="preserve">На вопрос отвечает Прокурор района </w:t>
      </w:r>
      <w:r w:rsidRPr="00343F22">
        <w:rPr>
          <w:rFonts w:ascii="Times New Roman" w:hAnsi="Times New Roman" w:cs="Times New Roman"/>
          <w:b/>
          <w:sz w:val="28"/>
        </w:rPr>
        <w:t>Виталий Рябов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Перечень доходов физических лиц, не подлежащих обложению налогом на доходы физических лиц, установлен ст. 217 Налогового кодекса Российской Федерации.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В частности, на основании положений п. 17.1 ст. 217 и ст. 217.1 НК РФ доходы физического лица от продажи квартиры, право собственности на которую получено им по договору дарения от члена семьи или близкого родственника, освобождаются от налогообложения при условии нахождения этой квартиры в собственности физического лица более 3 лет.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Кроме того, согласно п. 63 ст. 217 НК РФ к доходам налогоплательщика, не подлежащим налогообложению, относятся доходы от продажи имущества, подлежащего реализации в случае признания такого налогоплательщика банкротом и введения процедуры реализации его имущества в соответствии с законодательством о несостоятельности (банкротстве).</w:t>
      </w:r>
    </w:p>
    <w:p w:rsidR="00343F22" w:rsidRPr="00343F22" w:rsidRDefault="00343F22" w:rsidP="00343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Следует также отметить, что в соответствии с п. 1 ст. 45 НК РФ уплата налога за налогоплательщика может быть произведена лично налогоплательщиком либо за него иным лицом (физическим лицом либо организацией).</w:t>
      </w:r>
    </w:p>
    <w:sectPr w:rsidR="00343F22" w:rsidRPr="003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22"/>
    <w:rsid w:val="00343F22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2019-11-21T13:12:00Z</dcterms:created>
  <dcterms:modified xsi:type="dcterms:W3CDTF">2019-11-21T13:15:00Z</dcterms:modified>
</cp:coreProperties>
</file>